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bookmarkStart w:id="0" w:name="_GoBack"/>
            <w:bookmarkEnd w:id="0"/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3E161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02.03.2026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3E161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22026050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3E161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3E1611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3E161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3E161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182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E161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02.03.2026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3E161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31.08.2026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3E1611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3E161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3E1611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3E1611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3E1611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3E1611" w:rsidP="00605D85">
            <w:pPr>
              <w:ind w:firstLine="0"/>
              <w:jc w:val="center"/>
            </w:pPr>
            <w:r>
              <w:t>Особый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3E1611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3E1611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3E1611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3E1611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3E161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3E161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3E161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3E161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10:55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11:00***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3E1611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3E1611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3E1611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3E1611" w:rsidP="00A27604">
            <w:pPr>
              <w:ind w:hanging="11"/>
              <w:jc w:val="center"/>
              <w:rPr>
                <w:lang w:val="en-US"/>
              </w:rPr>
            </w:pPr>
            <w:r>
              <w:t>11:10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3E161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3E1611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3E161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11:10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3E1611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3E1611" w:rsidP="00A84BB5">
            <w:pPr>
              <w:ind w:firstLine="0"/>
              <w:jc w:val="center"/>
            </w:pPr>
            <w:r>
              <w:t>с 11:50 по 12:10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3E1611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3E1611" w:rsidP="003D7AD0">
            <w:pPr>
              <w:ind w:firstLine="0"/>
              <w:jc w:val="center"/>
            </w:pPr>
            <w:r w:rsidRPr="003E1611">
              <w:t>В соответствии с требованиями п. 64 и п. 65 Приказа Федерального казначейства от 18.09.2025 г. № 8н</w:t>
            </w:r>
          </w:p>
        </w:tc>
      </w:tr>
      <w:tr w:rsidR="00BE0679" w:rsidTr="00605D85">
        <w:trPr>
          <w:trHeight w:val="573"/>
        </w:trPr>
        <w:tc>
          <w:tcPr>
            <w:tcW w:w="9287" w:type="dxa"/>
            <w:gridSpan w:val="2"/>
            <w:vAlign w:val="center"/>
          </w:tcPr>
          <w:p w:rsidR="00BE0679" w:rsidRPr="00D87F98" w:rsidRDefault="00BE0679" w:rsidP="00E03B69">
            <w:pPr>
              <w:ind w:firstLine="0"/>
              <w:jc w:val="center"/>
            </w:pPr>
            <w:r w:rsidRPr="00D87F98">
              <w:t>Результаты отбора заявок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Процентная ставка отсечения, % годовых</w:t>
            </w:r>
          </w:p>
        </w:tc>
        <w:tc>
          <w:tcPr>
            <w:tcW w:w="2879" w:type="dxa"/>
            <w:vAlign w:val="center"/>
          </w:tcPr>
          <w:p w:rsidR="00BE0679" w:rsidRPr="00605D85" w:rsidRDefault="003E161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spacing w:before="120" w:after="120"/>
              <w:ind w:firstLine="0"/>
              <w:jc w:val="center"/>
            </w:pPr>
            <w:r w:rsidRPr="00F242EB">
              <w:t>Общий объем направленных заявок,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3E161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129 225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в подлежащих удовлетворению заявках,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3E161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Общий объем средств по заключенным договорам банковского депозита, млн. денежных единиц</w:t>
            </w:r>
          </w:p>
        </w:tc>
        <w:tc>
          <w:tcPr>
            <w:tcW w:w="2879" w:type="dxa"/>
            <w:vAlign w:val="center"/>
          </w:tcPr>
          <w:p w:rsidR="00BE0679" w:rsidRPr="00605D85" w:rsidRDefault="003E161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60 000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Средневзвешенная процентная ставка размещения средств по подлежащим удовлетворению заявкам,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3E161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Минимальная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3E161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0,40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Максимальная процентная ставка в направленных заявках, % годовых (фиксированная или спред)</w:t>
            </w:r>
          </w:p>
        </w:tc>
        <w:tc>
          <w:tcPr>
            <w:tcW w:w="2879" w:type="dxa"/>
            <w:vAlign w:val="center"/>
          </w:tcPr>
          <w:p w:rsidR="00BE0679" w:rsidRPr="00605D85" w:rsidRDefault="003E161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0,50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>Количество кредитных организаций, принявших участие в отборе заявок, шт.</w:t>
            </w:r>
          </w:p>
        </w:tc>
        <w:tc>
          <w:tcPr>
            <w:tcW w:w="2879" w:type="dxa"/>
            <w:vAlign w:val="center"/>
          </w:tcPr>
          <w:p w:rsidR="00BE0679" w:rsidRPr="00605D85" w:rsidRDefault="003E161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BE0679" w:rsidTr="00FD1B36">
        <w:trPr>
          <w:trHeight w:val="20"/>
        </w:trPr>
        <w:tc>
          <w:tcPr>
            <w:tcW w:w="6408" w:type="dxa"/>
            <w:vAlign w:val="center"/>
          </w:tcPr>
          <w:p w:rsidR="00BE0679" w:rsidRPr="00F242EB" w:rsidRDefault="00BE0679" w:rsidP="008F44A4">
            <w:pPr>
              <w:ind w:firstLine="0"/>
              <w:jc w:val="center"/>
            </w:pPr>
            <w:r w:rsidRPr="00F242EB">
              <w:t xml:space="preserve">Количество кредитных организаций, заявки </w:t>
            </w:r>
            <w:r w:rsidRPr="00F242EB">
              <w:lastRenderedPageBreak/>
              <w:t>которых удовлетворены, шт.</w:t>
            </w:r>
          </w:p>
        </w:tc>
        <w:tc>
          <w:tcPr>
            <w:tcW w:w="2879" w:type="dxa"/>
            <w:vAlign w:val="center"/>
          </w:tcPr>
          <w:p w:rsidR="00BE0679" w:rsidRPr="00605D85" w:rsidRDefault="003E1611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3</w:t>
            </w:r>
          </w:p>
        </w:tc>
      </w:tr>
    </w:tbl>
    <w:p w:rsidR="0046681E" w:rsidRDefault="0046681E" w:rsidP="007762F7">
      <w:pPr>
        <w:rPr>
          <w:lang w:val="en-US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3E1611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3E1611" w:rsidP="00674164">
      <w:pPr>
        <w:ind w:right="141"/>
        <w:rPr>
          <w:vanish/>
          <w:sz w:val="24"/>
        </w:rPr>
      </w:pPr>
      <w:r>
        <w:t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принимается последнее из опубликованных значений ставки RUONIA.</w:t>
      </w:r>
      <w:r>
        <w:cr/>
      </w:r>
    </w:p>
    <w:p w:rsidR="00BB27DF" w:rsidRPr="009038B5" w:rsidRDefault="003E1611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11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3E1611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E26DF3B-ACCC-4C07-9BA8-BA54C1536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3</Pages>
  <Words>674</Words>
  <Characters>3848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4513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Латалина Людмила Анатольевна</dc:creator>
  <cp:lastModifiedBy>Латалина Людмила Анатольевна</cp:lastModifiedBy>
  <cp:revision>1</cp:revision>
  <dcterms:created xsi:type="dcterms:W3CDTF">2026-03-02T15:10:00Z</dcterms:created>
  <dcterms:modified xsi:type="dcterms:W3CDTF">2026-03-02T15:11:00Z</dcterms:modified>
</cp:coreProperties>
</file>