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27.02.2026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22026037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</w:pPr>
            <w:r>
              <w:rPr>
                <w:lang w:val="en-US"/>
              </w:rPr>
              <w:t>рубли</w:t>
            </w:r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0E3CBE" w:rsidP="000804C7">
            <w:pPr>
              <w:ind w:firstLine="0"/>
              <w:jc w:val="center"/>
            </w:pPr>
            <w:r>
              <w:rPr>
                <w:lang w:val="en-US"/>
              </w:rPr>
              <w:t>средства единого казначейского счета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27.02.2026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0E3CB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Открытая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Обычный</w:t>
            </w:r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Да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Да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С зачетом взаимных обязательств</w:t>
            </w:r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Без зачета взаимных обязательств</w:t>
            </w:r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ПАО Московская Биржа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0E3CBE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0E3CB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0E3CB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10.20 по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0E3CB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10.30 по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0E3CB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0E3CB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0E3CB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0E3CB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10.40 по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с 11.00 по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с 11.20 по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1-ый клиринговый сеанс</w:t>
            </w:r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14,9200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</w:rPr>
            </w:pPr>
            <w:r>
              <w:t>14,9200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14,9200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E3CB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BE"/>
    <w:rsid w:val="00006FD9"/>
    <w:rsid w:val="0006322A"/>
    <w:rsid w:val="000804C7"/>
    <w:rsid w:val="00094FD5"/>
    <w:rsid w:val="00096875"/>
    <w:rsid w:val="000B3557"/>
    <w:rsid w:val="000B56EB"/>
    <w:rsid w:val="000E3CBE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20A3C-110A-4258-8583-754D2923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2026-02-27T09:35:00Z</dcterms:created>
  <dcterms:modified xsi:type="dcterms:W3CDTF">2026-02-27T09:36:00Z</dcterms:modified>
</cp:coreProperties>
</file>